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2078" w14:textId="77777777" w:rsidR="004E094B" w:rsidRPr="00E212E3" w:rsidRDefault="004E094B" w:rsidP="009636E7">
      <w:pPr>
        <w:jc w:val="center"/>
        <w:rPr>
          <w:rFonts w:ascii="Garamond" w:hAnsi="Garamond" w:cs="Arial"/>
          <w:b/>
          <w:color w:val="0000FF"/>
          <w:sz w:val="22"/>
          <w:szCs w:val="22"/>
        </w:rPr>
      </w:pPr>
    </w:p>
    <w:p w14:paraId="75398C2C" w14:textId="237783EF" w:rsidR="009636E7" w:rsidRPr="00E212E3" w:rsidRDefault="00926254" w:rsidP="009636E7">
      <w:pPr>
        <w:jc w:val="center"/>
        <w:rPr>
          <w:rFonts w:ascii="Garamond" w:hAnsi="Garamond" w:cs="Arial"/>
          <w:b/>
          <w:color w:val="0000FF"/>
          <w:sz w:val="28"/>
          <w:szCs w:val="28"/>
        </w:rPr>
      </w:pPr>
      <w:r w:rsidRPr="00E212E3">
        <w:rPr>
          <w:rFonts w:ascii="Garamond" w:hAnsi="Garamond" w:cs="Arial"/>
          <w:b/>
          <w:color w:val="0000FF"/>
          <w:sz w:val="28"/>
          <w:szCs w:val="28"/>
        </w:rPr>
        <w:t>Timely Topics</w:t>
      </w:r>
    </w:p>
    <w:p w14:paraId="3BC36B0C" w14:textId="07EED9D7" w:rsidR="009636E7" w:rsidRPr="00E212E3" w:rsidRDefault="009636E7" w:rsidP="009636E7">
      <w:pPr>
        <w:jc w:val="center"/>
        <w:rPr>
          <w:rFonts w:ascii="Garamond" w:hAnsi="Garamond" w:cs="Arial"/>
          <w:sz w:val="22"/>
          <w:szCs w:val="22"/>
        </w:rPr>
      </w:pPr>
      <w:r w:rsidRPr="00E212E3">
        <w:rPr>
          <w:rFonts w:ascii="Garamond" w:hAnsi="Garamond" w:cs="Arial"/>
          <w:sz w:val="22"/>
          <w:szCs w:val="22"/>
        </w:rPr>
        <w:t>Albany College of Pharmacy and Health Sciences</w:t>
      </w:r>
    </w:p>
    <w:p w14:paraId="7127AFA5" w14:textId="09AC8BCD" w:rsidR="006D097C" w:rsidRPr="00E212E3" w:rsidRDefault="006D097C" w:rsidP="009636E7">
      <w:pPr>
        <w:jc w:val="center"/>
        <w:rPr>
          <w:rFonts w:ascii="Garamond" w:hAnsi="Garamond" w:cs="Arial"/>
          <w:sz w:val="22"/>
          <w:szCs w:val="22"/>
        </w:rPr>
      </w:pPr>
      <w:r w:rsidRPr="00E212E3">
        <w:rPr>
          <w:rFonts w:ascii="Garamond" w:hAnsi="Garamond" w:cs="Arial"/>
          <w:sz w:val="22"/>
          <w:szCs w:val="22"/>
        </w:rPr>
        <w:t>Office of Continuing Education and Professional Development</w:t>
      </w:r>
    </w:p>
    <w:p w14:paraId="52EE76F6" w14:textId="77777777" w:rsidR="009636E7" w:rsidRPr="00E212E3" w:rsidRDefault="009636E7" w:rsidP="009636E7">
      <w:pPr>
        <w:jc w:val="center"/>
        <w:rPr>
          <w:rFonts w:ascii="Garamond" w:hAnsi="Garamond" w:cs="Arial"/>
          <w:sz w:val="22"/>
          <w:szCs w:val="22"/>
        </w:rPr>
      </w:pPr>
      <w:r w:rsidRPr="00E212E3">
        <w:rPr>
          <w:rFonts w:ascii="Garamond" w:hAnsi="Garamond" w:cs="Arial"/>
          <w:sz w:val="22"/>
          <w:szCs w:val="22"/>
        </w:rPr>
        <w:t xml:space="preserve">  A live on-line Webinar</w:t>
      </w:r>
    </w:p>
    <w:p w14:paraId="21569FC6" w14:textId="77777777" w:rsidR="009636E7" w:rsidRPr="00E212E3" w:rsidRDefault="009636E7" w:rsidP="009636E7">
      <w:pPr>
        <w:jc w:val="center"/>
        <w:rPr>
          <w:rFonts w:ascii="Garamond" w:hAnsi="Garamond"/>
          <w:b/>
          <w:color w:val="8496B0" w:themeColor="text2" w:themeTint="99"/>
          <w:sz w:val="22"/>
          <w:szCs w:val="22"/>
        </w:rPr>
      </w:pPr>
    </w:p>
    <w:p w14:paraId="074B2713" w14:textId="773DFC54" w:rsidR="009636E7" w:rsidRPr="00E212E3" w:rsidRDefault="009A1DA6" w:rsidP="00195CE0">
      <w:pPr>
        <w:jc w:val="center"/>
        <w:rPr>
          <w:rFonts w:ascii="Garamond" w:hAnsi="Garamond"/>
          <w:b/>
        </w:rPr>
      </w:pPr>
      <w:r>
        <w:rPr>
          <w:rFonts w:ascii="Garamond" w:hAnsi="Garamond"/>
          <w:b/>
        </w:rPr>
        <w:t>Tuesday, January 24, 2023</w:t>
      </w:r>
      <w:r w:rsidR="006A45E3" w:rsidRPr="00E212E3">
        <w:rPr>
          <w:rFonts w:ascii="Garamond" w:hAnsi="Garamond"/>
          <w:b/>
        </w:rPr>
        <w:t xml:space="preserve"> / </w:t>
      </w:r>
      <w:r w:rsidR="00CE7E5E" w:rsidRPr="00E212E3">
        <w:rPr>
          <w:rFonts w:ascii="Garamond" w:hAnsi="Garamond"/>
          <w:b/>
        </w:rPr>
        <w:t>1</w:t>
      </w:r>
      <w:r w:rsidR="00666F4C" w:rsidRPr="00E212E3">
        <w:rPr>
          <w:rFonts w:ascii="Garamond" w:hAnsi="Garamond"/>
          <w:b/>
        </w:rPr>
        <w:t>2</w:t>
      </w:r>
      <w:r w:rsidR="006A45E3" w:rsidRPr="00E212E3">
        <w:rPr>
          <w:rFonts w:ascii="Garamond" w:hAnsi="Garamond"/>
          <w:b/>
        </w:rPr>
        <w:t xml:space="preserve">:00 </w:t>
      </w:r>
      <w:r w:rsidR="00C11C69" w:rsidRPr="00E212E3">
        <w:rPr>
          <w:rFonts w:ascii="Garamond" w:hAnsi="Garamond"/>
          <w:b/>
        </w:rPr>
        <w:t>p</w:t>
      </w:r>
      <w:r w:rsidR="006A45E3" w:rsidRPr="00E212E3">
        <w:rPr>
          <w:rFonts w:ascii="Garamond" w:hAnsi="Garamond"/>
          <w:b/>
        </w:rPr>
        <w:t xml:space="preserve">m – </w:t>
      </w:r>
      <w:r w:rsidR="00666F4C" w:rsidRPr="00E212E3">
        <w:rPr>
          <w:rFonts w:ascii="Garamond" w:hAnsi="Garamond"/>
          <w:b/>
        </w:rPr>
        <w:t>1</w:t>
      </w:r>
      <w:r w:rsidR="006A45E3" w:rsidRPr="00E212E3">
        <w:rPr>
          <w:rFonts w:ascii="Garamond" w:hAnsi="Garamond"/>
          <w:b/>
        </w:rPr>
        <w:t>:00 pm</w:t>
      </w:r>
    </w:p>
    <w:p w14:paraId="060E9D52" w14:textId="77777777" w:rsidR="00506D6E" w:rsidRPr="00E212E3" w:rsidRDefault="00506D6E" w:rsidP="00195CE0">
      <w:pPr>
        <w:jc w:val="center"/>
        <w:rPr>
          <w:rFonts w:ascii="Garamond" w:hAnsi="Garamond" w:cs="Calibri"/>
          <w:b/>
          <w:bCs/>
          <w:color w:val="201F1E"/>
          <w:shd w:val="clear" w:color="auto" w:fill="FFFFFF"/>
        </w:rPr>
      </w:pPr>
    </w:p>
    <w:p w14:paraId="54407AD6" w14:textId="14726A2E" w:rsidR="00666F4C" w:rsidRPr="00E212E3" w:rsidRDefault="009A1DA6" w:rsidP="00506D6E">
      <w:pPr>
        <w:jc w:val="center"/>
        <w:rPr>
          <w:rFonts w:ascii="Garamond" w:hAnsi="Garamond" w:cs="Calibri"/>
          <w:b/>
          <w:bCs/>
          <w:color w:val="201F1E"/>
          <w:shd w:val="clear" w:color="auto" w:fill="FFFFFF"/>
        </w:rPr>
      </w:pPr>
      <w:r>
        <w:rPr>
          <w:rFonts w:ascii="Garamond" w:hAnsi="Garamond" w:cs="Calibri"/>
          <w:b/>
          <w:bCs/>
          <w:color w:val="201F1E"/>
          <w:shd w:val="clear" w:color="auto" w:fill="FFFFFF"/>
        </w:rPr>
        <w:t>MPX Update:  What We Know (and don’t know) So Far</w:t>
      </w:r>
    </w:p>
    <w:p w14:paraId="0DC31100" w14:textId="627C43C3" w:rsidR="009636E7" w:rsidRPr="00E212E3" w:rsidRDefault="009636E7" w:rsidP="00195CE0">
      <w:pPr>
        <w:jc w:val="center"/>
        <w:rPr>
          <w:rFonts w:ascii="Garamond" w:hAnsi="Garamond"/>
          <w:b/>
          <w:sz w:val="20"/>
          <w:szCs w:val="20"/>
        </w:rPr>
      </w:pPr>
      <w:r w:rsidRPr="00E212E3">
        <w:rPr>
          <w:rFonts w:ascii="Garamond" w:hAnsi="Garamond"/>
          <w:b/>
          <w:sz w:val="20"/>
          <w:szCs w:val="20"/>
        </w:rPr>
        <w:t>Presented by</w:t>
      </w:r>
    </w:p>
    <w:p w14:paraId="725280B6" w14:textId="77A9F21F" w:rsidR="00E41E2E" w:rsidRPr="00E212E3" w:rsidRDefault="0076408B" w:rsidP="00E41E2E">
      <w:pPr>
        <w:jc w:val="center"/>
        <w:rPr>
          <w:rFonts w:ascii="Garamond" w:eastAsiaTheme="minorHAnsi" w:hAnsi="Garamond" w:cstheme="minorHAnsi"/>
          <w:color w:val="222222"/>
          <w:sz w:val="22"/>
          <w:szCs w:val="22"/>
        </w:rPr>
      </w:pPr>
      <w:r>
        <w:rPr>
          <w:rFonts w:ascii="Garamond" w:hAnsi="Garamond" w:cstheme="minorHAnsi"/>
          <w:color w:val="222222"/>
          <w:sz w:val="22"/>
          <w:szCs w:val="22"/>
        </w:rPr>
        <w:t>Eric Yager, PhD</w:t>
      </w:r>
    </w:p>
    <w:p w14:paraId="6220CA5D" w14:textId="26C8AF62" w:rsidR="00E41E2E" w:rsidRPr="00E212E3" w:rsidRDefault="0076408B" w:rsidP="00E41E2E">
      <w:pPr>
        <w:jc w:val="center"/>
        <w:rPr>
          <w:rFonts w:ascii="Garamond" w:hAnsi="Garamond" w:cstheme="minorHAnsi"/>
          <w:color w:val="000000"/>
          <w:sz w:val="22"/>
          <w:szCs w:val="22"/>
        </w:rPr>
      </w:pPr>
      <w:r>
        <w:rPr>
          <w:rFonts w:ascii="Garamond" w:hAnsi="Garamond" w:cstheme="minorHAnsi"/>
          <w:color w:val="000000"/>
          <w:sz w:val="22"/>
          <w:szCs w:val="22"/>
        </w:rPr>
        <w:t>Associate Professor, Department of Basic and Clinical Sciences</w:t>
      </w:r>
    </w:p>
    <w:p w14:paraId="28EFCD9C" w14:textId="76709785" w:rsidR="00C11C69" w:rsidRPr="00E212E3" w:rsidRDefault="00D44D04" w:rsidP="00195CE0">
      <w:pPr>
        <w:jc w:val="center"/>
        <w:rPr>
          <w:rFonts w:ascii="Garamond" w:hAnsi="Garamond"/>
          <w:sz w:val="22"/>
          <w:szCs w:val="22"/>
        </w:rPr>
      </w:pPr>
      <w:r w:rsidRPr="00E212E3">
        <w:rPr>
          <w:rFonts w:ascii="Garamond" w:hAnsi="Garamond"/>
          <w:sz w:val="22"/>
          <w:szCs w:val="22"/>
        </w:rPr>
        <w:t>Albany College of Pharmacy and Health Sciences</w:t>
      </w:r>
    </w:p>
    <w:p w14:paraId="3C134697" w14:textId="43B41DA2" w:rsidR="009636E7" w:rsidRPr="00E212E3" w:rsidRDefault="009636E7" w:rsidP="00926254">
      <w:pPr>
        <w:jc w:val="center"/>
        <w:rPr>
          <w:rFonts w:ascii="Garamond" w:hAnsi="Garamond"/>
          <w:b/>
          <w:i/>
          <w:sz w:val="22"/>
          <w:szCs w:val="22"/>
        </w:rPr>
      </w:pPr>
    </w:p>
    <w:p w14:paraId="4A87D271" w14:textId="77777777" w:rsidR="009636E7" w:rsidRPr="00E212E3" w:rsidRDefault="009636E7" w:rsidP="009636E7">
      <w:pPr>
        <w:rPr>
          <w:rFonts w:ascii="Garamond" w:hAnsi="Garamond" w:cs="Arial"/>
          <w:i/>
          <w:sz w:val="22"/>
          <w:szCs w:val="22"/>
        </w:rPr>
      </w:pPr>
      <w:r w:rsidRPr="00E212E3">
        <w:rPr>
          <w:rFonts w:ascii="Garamond" w:hAnsi="Garamond" w:cs="Arial"/>
          <w:i/>
          <w:sz w:val="22"/>
          <w:szCs w:val="22"/>
        </w:rPr>
        <w:t>At the completion of this activity, the pharmacist will be able to:</w:t>
      </w:r>
    </w:p>
    <w:p w14:paraId="358CD365" w14:textId="3F3DF83C" w:rsidR="00C00F6C" w:rsidRDefault="009A1DA6" w:rsidP="00C00F6C">
      <w:pPr>
        <w:pStyle w:val="ListParagraph"/>
        <w:numPr>
          <w:ilvl w:val="0"/>
          <w:numId w:val="1"/>
        </w:numPr>
        <w:rPr>
          <w:rFonts w:ascii="Garamond" w:hAnsi="Garamond"/>
          <w:sz w:val="22"/>
          <w:szCs w:val="22"/>
        </w:rPr>
      </w:pPr>
      <w:r>
        <w:rPr>
          <w:rFonts w:ascii="Garamond" w:hAnsi="Garamond"/>
          <w:sz w:val="22"/>
          <w:szCs w:val="22"/>
        </w:rPr>
        <w:t>Explain the pathogenesis and transmission of MPX and recognize the clinical characteristics of MPX infection</w:t>
      </w:r>
    </w:p>
    <w:p w14:paraId="4768F0AF" w14:textId="598E93DB" w:rsidR="009A1DA6" w:rsidRDefault="009A1DA6" w:rsidP="00C00F6C">
      <w:pPr>
        <w:pStyle w:val="ListParagraph"/>
        <w:numPr>
          <w:ilvl w:val="0"/>
          <w:numId w:val="1"/>
        </w:numPr>
        <w:rPr>
          <w:rFonts w:ascii="Garamond" w:hAnsi="Garamond"/>
          <w:sz w:val="22"/>
          <w:szCs w:val="22"/>
        </w:rPr>
      </w:pPr>
      <w:r>
        <w:rPr>
          <w:rFonts w:ascii="Garamond" w:hAnsi="Garamond"/>
          <w:sz w:val="22"/>
          <w:szCs w:val="22"/>
        </w:rPr>
        <w:t>Outline the risks of MPX infection to patient populations and communicate behavioral interventions that can reduce the risk of infection and community transmission</w:t>
      </w:r>
    </w:p>
    <w:p w14:paraId="4DCB2CEC" w14:textId="41579615" w:rsidR="009A1DA6" w:rsidRPr="00E212E3" w:rsidRDefault="009A1DA6" w:rsidP="00C00F6C">
      <w:pPr>
        <w:pStyle w:val="ListParagraph"/>
        <w:numPr>
          <w:ilvl w:val="0"/>
          <w:numId w:val="1"/>
        </w:numPr>
        <w:rPr>
          <w:rFonts w:ascii="Garamond" w:hAnsi="Garamond"/>
          <w:sz w:val="22"/>
          <w:szCs w:val="22"/>
        </w:rPr>
      </w:pPr>
      <w:r>
        <w:rPr>
          <w:rFonts w:ascii="Garamond" w:hAnsi="Garamond"/>
          <w:sz w:val="22"/>
          <w:szCs w:val="22"/>
        </w:rPr>
        <w:t>Discuss the currently available medical countermeasures to prevent and treat MPX</w:t>
      </w:r>
    </w:p>
    <w:p w14:paraId="3348ECBD" w14:textId="77777777" w:rsidR="00666F4C" w:rsidRPr="00E212E3" w:rsidRDefault="009636E7" w:rsidP="00FD58F3">
      <w:pPr>
        <w:jc w:val="center"/>
        <w:rPr>
          <w:rFonts w:ascii="Garamond" w:hAnsi="Garamond"/>
          <w:sz w:val="22"/>
          <w:szCs w:val="22"/>
        </w:rPr>
      </w:pPr>
      <w:r w:rsidRPr="00E212E3">
        <w:rPr>
          <w:rFonts w:ascii="Garamond" w:hAnsi="Garamond"/>
          <w:sz w:val="22"/>
          <w:szCs w:val="22"/>
        </w:rPr>
        <w:t xml:space="preserve"> </w:t>
      </w:r>
    </w:p>
    <w:p w14:paraId="08697A96" w14:textId="051200CB" w:rsidR="009636E7" w:rsidRPr="00E212E3" w:rsidRDefault="009636E7" w:rsidP="00FD58F3">
      <w:pPr>
        <w:jc w:val="center"/>
        <w:rPr>
          <w:rFonts w:ascii="Garamond" w:hAnsi="Garamond"/>
          <w:sz w:val="22"/>
          <w:szCs w:val="22"/>
        </w:rPr>
      </w:pPr>
      <w:r w:rsidRPr="00E212E3">
        <w:rPr>
          <w:rFonts w:ascii="Garamond" w:hAnsi="Garamond"/>
          <w:b/>
          <w:i/>
          <w:sz w:val="22"/>
          <w:szCs w:val="22"/>
        </w:rPr>
        <w:t>0045-0000-</w:t>
      </w:r>
      <w:r w:rsidR="00A10319" w:rsidRPr="00E212E3">
        <w:rPr>
          <w:rFonts w:ascii="Garamond" w:hAnsi="Garamond"/>
          <w:b/>
          <w:i/>
          <w:sz w:val="22"/>
          <w:szCs w:val="22"/>
        </w:rPr>
        <w:t>2</w:t>
      </w:r>
      <w:r w:rsidR="009A1DA6">
        <w:rPr>
          <w:rFonts w:ascii="Garamond" w:hAnsi="Garamond"/>
          <w:b/>
          <w:i/>
          <w:sz w:val="22"/>
          <w:szCs w:val="22"/>
        </w:rPr>
        <w:t>2</w:t>
      </w:r>
      <w:r w:rsidRPr="00E212E3">
        <w:rPr>
          <w:rFonts w:ascii="Garamond" w:hAnsi="Garamond"/>
          <w:b/>
          <w:i/>
          <w:sz w:val="22"/>
          <w:szCs w:val="22"/>
        </w:rPr>
        <w:t>-0</w:t>
      </w:r>
      <w:r w:rsidR="00B41DB6" w:rsidRPr="00E212E3">
        <w:rPr>
          <w:rFonts w:ascii="Garamond" w:hAnsi="Garamond"/>
          <w:b/>
          <w:i/>
          <w:sz w:val="22"/>
          <w:szCs w:val="22"/>
        </w:rPr>
        <w:t>1</w:t>
      </w:r>
      <w:r w:rsidR="009A1DA6">
        <w:rPr>
          <w:rFonts w:ascii="Garamond" w:hAnsi="Garamond"/>
          <w:b/>
          <w:i/>
          <w:sz w:val="22"/>
          <w:szCs w:val="22"/>
        </w:rPr>
        <w:t>6</w:t>
      </w:r>
      <w:r w:rsidRPr="00E212E3">
        <w:rPr>
          <w:rFonts w:ascii="Garamond" w:hAnsi="Garamond"/>
          <w:b/>
          <w:i/>
          <w:sz w:val="22"/>
          <w:szCs w:val="22"/>
        </w:rPr>
        <w:t>-L</w:t>
      </w:r>
      <w:r w:rsidR="00B41DB6" w:rsidRPr="00E212E3">
        <w:rPr>
          <w:rFonts w:ascii="Garamond" w:hAnsi="Garamond"/>
          <w:b/>
          <w:i/>
          <w:sz w:val="22"/>
          <w:szCs w:val="22"/>
        </w:rPr>
        <w:t>01</w:t>
      </w:r>
      <w:r w:rsidRPr="00E212E3">
        <w:rPr>
          <w:rFonts w:ascii="Garamond" w:hAnsi="Garamond"/>
          <w:b/>
          <w:i/>
          <w:sz w:val="22"/>
          <w:szCs w:val="22"/>
        </w:rPr>
        <w:t xml:space="preserve">-P / </w:t>
      </w:r>
      <w:r w:rsidR="00C00F6C" w:rsidRPr="00E212E3">
        <w:rPr>
          <w:rFonts w:ascii="Garamond" w:hAnsi="Garamond"/>
          <w:b/>
          <w:i/>
          <w:sz w:val="22"/>
          <w:szCs w:val="22"/>
        </w:rPr>
        <w:t>1</w:t>
      </w:r>
      <w:r w:rsidRPr="00E212E3">
        <w:rPr>
          <w:rFonts w:ascii="Garamond" w:hAnsi="Garamond"/>
          <w:b/>
          <w:i/>
          <w:sz w:val="22"/>
          <w:szCs w:val="22"/>
        </w:rPr>
        <w:t xml:space="preserve"> Contact Hour</w:t>
      </w:r>
    </w:p>
    <w:p w14:paraId="519073C1" w14:textId="77777777" w:rsidR="009636E7" w:rsidRPr="00E212E3" w:rsidRDefault="009636E7" w:rsidP="009636E7">
      <w:pPr>
        <w:jc w:val="center"/>
        <w:rPr>
          <w:rFonts w:ascii="Garamond" w:hAnsi="Garamond"/>
          <w:sz w:val="20"/>
          <w:szCs w:val="20"/>
        </w:rPr>
      </w:pPr>
    </w:p>
    <w:p w14:paraId="76D4B78C" w14:textId="77777777" w:rsidR="009A1DA6" w:rsidRPr="009A1DA6" w:rsidRDefault="005E1230" w:rsidP="00C00F6C">
      <w:pPr>
        <w:rPr>
          <w:rFonts w:ascii="Garamond" w:eastAsiaTheme="minorHAnsi" w:hAnsi="Garamond"/>
          <w:sz w:val="22"/>
          <w:szCs w:val="22"/>
        </w:rPr>
      </w:pPr>
      <w:r w:rsidRPr="00E212E3">
        <w:rPr>
          <w:rFonts w:ascii="Garamond" w:hAnsi="Garamond"/>
          <w:b/>
          <w:sz w:val="22"/>
          <w:szCs w:val="22"/>
          <w:u w:val="single"/>
        </w:rPr>
        <w:t>Activity Overview</w:t>
      </w:r>
      <w:r w:rsidRPr="00E212E3">
        <w:rPr>
          <w:rFonts w:ascii="Garamond" w:hAnsi="Garamond"/>
          <w:b/>
          <w:sz w:val="22"/>
          <w:szCs w:val="22"/>
        </w:rPr>
        <w:t xml:space="preserve">:  </w:t>
      </w:r>
      <w:r w:rsidR="009A1DA6" w:rsidRPr="009A1DA6">
        <w:rPr>
          <w:rFonts w:ascii="Garamond" w:eastAsiaTheme="minorHAnsi" w:hAnsi="Garamond"/>
          <w:sz w:val="22"/>
          <w:szCs w:val="22"/>
        </w:rPr>
        <w:t>Increased awareness of MPX transmission, and epidemiology will positively benefit patient education of the disease and risk for disease. Ability to readily identify disease symptoms could prevent missed opportunities to diagnose MPX and prevent community transmission.</w:t>
      </w:r>
      <w:r w:rsidR="009A1DA6" w:rsidRPr="009A1DA6">
        <w:rPr>
          <w:rFonts w:ascii="Garamond" w:eastAsiaTheme="minorHAnsi" w:hAnsi="Garamond"/>
          <w:sz w:val="22"/>
          <w:szCs w:val="22"/>
        </w:rPr>
        <w:t xml:space="preserve">  </w:t>
      </w:r>
      <w:r w:rsidR="009A1DA6" w:rsidRPr="009A1DA6">
        <w:rPr>
          <w:rFonts w:ascii="Garamond" w:eastAsiaTheme="minorHAnsi" w:hAnsi="Garamond"/>
          <w:sz w:val="22"/>
          <w:szCs w:val="22"/>
        </w:rPr>
        <w:t>Effective balancing of focused messaging to populations most impacted by the current outbreak with wider messaging on behaviors that can promote and prevent the spread of MPX.</w:t>
      </w:r>
      <w:r w:rsidR="009A1DA6" w:rsidRPr="009A1DA6">
        <w:rPr>
          <w:rFonts w:ascii="Garamond" w:eastAsiaTheme="minorHAnsi" w:hAnsi="Garamond"/>
          <w:sz w:val="22"/>
          <w:szCs w:val="22"/>
        </w:rPr>
        <w:t xml:space="preserve">  </w:t>
      </w:r>
      <w:r w:rsidR="009A1DA6" w:rsidRPr="009A1DA6">
        <w:rPr>
          <w:rFonts w:ascii="Garamond" w:eastAsiaTheme="minorHAnsi" w:hAnsi="Garamond"/>
          <w:sz w:val="22"/>
          <w:szCs w:val="22"/>
        </w:rPr>
        <w:t>Increased knowledge of MPX vaccination and understanding of individuals with the highest risk for MPX exposure with have a positive impact on patient outcomes.</w:t>
      </w:r>
    </w:p>
    <w:p w14:paraId="44A4F68F" w14:textId="7EBB69BF" w:rsidR="005E1230" w:rsidRPr="00E212E3" w:rsidRDefault="009A1DA6" w:rsidP="00C00F6C">
      <w:pPr>
        <w:rPr>
          <w:rFonts w:ascii="Garamond" w:eastAsia="Times New Roman" w:hAnsi="Garamond" w:cs="Arial"/>
          <w:sz w:val="22"/>
          <w:szCs w:val="22"/>
          <w:lang w:val="en"/>
        </w:rPr>
      </w:pPr>
      <w:r w:rsidRPr="00E212E3">
        <w:rPr>
          <w:rFonts w:ascii="Garamond" w:eastAsia="Times New Roman" w:hAnsi="Garamond" w:cs="Arial"/>
          <w:sz w:val="22"/>
          <w:szCs w:val="22"/>
          <w:lang w:val="en"/>
        </w:rPr>
        <w:t xml:space="preserve"> </w:t>
      </w:r>
    </w:p>
    <w:p w14:paraId="24E04A9D" w14:textId="3492C52B" w:rsidR="00C00F6C" w:rsidRPr="00E212E3" w:rsidRDefault="009636E7" w:rsidP="00C00F6C">
      <w:pPr>
        <w:rPr>
          <w:rFonts w:ascii="Garamond" w:eastAsia="Times New Roman" w:hAnsi="Garamond" w:cs="Times New Roman"/>
          <w:sz w:val="22"/>
          <w:szCs w:val="22"/>
        </w:rPr>
      </w:pPr>
      <w:r w:rsidRPr="00E212E3">
        <w:rPr>
          <w:rFonts w:ascii="Garamond" w:hAnsi="Garamond"/>
          <w:b/>
          <w:sz w:val="22"/>
          <w:szCs w:val="22"/>
          <w:u w:val="single"/>
        </w:rPr>
        <w:t>Intended Audience</w:t>
      </w:r>
      <w:r w:rsidRPr="00E212E3">
        <w:rPr>
          <w:rFonts w:ascii="Garamond" w:hAnsi="Garamond"/>
          <w:b/>
          <w:sz w:val="22"/>
          <w:szCs w:val="22"/>
        </w:rPr>
        <w:t>:</w:t>
      </w:r>
      <w:r w:rsidRPr="00E212E3">
        <w:rPr>
          <w:rFonts w:ascii="Garamond" w:hAnsi="Garamond"/>
          <w:sz w:val="22"/>
          <w:szCs w:val="22"/>
        </w:rPr>
        <w:t xml:space="preserve"> </w:t>
      </w:r>
      <w:r w:rsidR="00C00F6C" w:rsidRPr="00E212E3">
        <w:rPr>
          <w:rFonts w:ascii="Garamond" w:eastAsia="Times New Roman" w:hAnsi="Garamond" w:cs="Times New Roman"/>
          <w:sz w:val="22"/>
          <w:szCs w:val="22"/>
        </w:rPr>
        <w:t xml:space="preserve">Practicing pharmacists, </w:t>
      </w:r>
      <w:proofErr w:type="gramStart"/>
      <w:r w:rsidR="00C00F6C" w:rsidRPr="00E212E3">
        <w:rPr>
          <w:rFonts w:ascii="Garamond" w:eastAsia="Times New Roman" w:hAnsi="Garamond" w:cs="Times New Roman"/>
          <w:sz w:val="22"/>
          <w:szCs w:val="22"/>
        </w:rPr>
        <w:t>preceptors</w:t>
      </w:r>
      <w:proofErr w:type="gramEnd"/>
      <w:r w:rsidR="00C00F6C" w:rsidRPr="00E212E3">
        <w:rPr>
          <w:rFonts w:ascii="Garamond" w:eastAsia="Times New Roman" w:hAnsi="Garamond" w:cs="Times New Roman"/>
          <w:sz w:val="22"/>
          <w:szCs w:val="22"/>
        </w:rPr>
        <w:t xml:space="preserve"> and student pharmacists.</w:t>
      </w:r>
    </w:p>
    <w:p w14:paraId="3E68335D" w14:textId="77777777" w:rsidR="005E1230" w:rsidRPr="00E212E3" w:rsidRDefault="005E1230" w:rsidP="00C00F6C">
      <w:pPr>
        <w:rPr>
          <w:rFonts w:ascii="Garamond" w:eastAsia="Times New Roman" w:hAnsi="Garamond" w:cs="Times New Roman"/>
          <w:sz w:val="22"/>
          <w:szCs w:val="22"/>
          <w:lang w:val="en"/>
        </w:rPr>
      </w:pPr>
    </w:p>
    <w:p w14:paraId="0865A1C7" w14:textId="7FFCD2D0" w:rsidR="004B3F65" w:rsidRPr="00E212E3" w:rsidRDefault="004B3F65" w:rsidP="009636E7">
      <w:pPr>
        <w:rPr>
          <w:rFonts w:ascii="Garamond" w:hAnsi="Garamond"/>
          <w:sz w:val="22"/>
          <w:szCs w:val="22"/>
        </w:rPr>
      </w:pPr>
      <w:r w:rsidRPr="00E212E3">
        <w:rPr>
          <w:rFonts w:ascii="Garamond" w:hAnsi="Garamond"/>
          <w:b/>
          <w:bCs/>
          <w:sz w:val="22"/>
          <w:szCs w:val="22"/>
          <w:u w:val="single"/>
        </w:rPr>
        <w:t>Live On-line Webinar</w:t>
      </w:r>
      <w:r w:rsidRPr="00E212E3">
        <w:rPr>
          <w:rFonts w:ascii="Garamond" w:hAnsi="Garamond"/>
          <w:b/>
          <w:bCs/>
          <w:sz w:val="22"/>
          <w:szCs w:val="22"/>
        </w:rPr>
        <w:t xml:space="preserve">:  </w:t>
      </w:r>
      <w:r w:rsidRPr="00E212E3">
        <w:rPr>
          <w:rFonts w:ascii="Garamond" w:hAnsi="Garamond"/>
          <w:sz w:val="22"/>
          <w:szCs w:val="22"/>
        </w:rPr>
        <w:t>Albany College of Pharmacy and Health Sciences is pleased to have launched</w:t>
      </w:r>
      <w:r w:rsidR="00C00F6C" w:rsidRPr="00E212E3">
        <w:rPr>
          <w:rFonts w:ascii="Garamond" w:hAnsi="Garamond"/>
          <w:sz w:val="22"/>
          <w:szCs w:val="22"/>
        </w:rPr>
        <w:t xml:space="preserve"> live,</w:t>
      </w:r>
      <w:r w:rsidRPr="00E212E3">
        <w:rPr>
          <w:rFonts w:ascii="Garamond" w:hAnsi="Garamond"/>
          <w:sz w:val="22"/>
          <w:szCs w:val="22"/>
        </w:rPr>
        <w:t xml:space="preserve"> on-line</w:t>
      </w:r>
      <w:r w:rsidR="00C00F6C" w:rsidRPr="00E212E3">
        <w:rPr>
          <w:rFonts w:ascii="Garamond" w:hAnsi="Garamond"/>
          <w:sz w:val="22"/>
          <w:szCs w:val="22"/>
        </w:rPr>
        <w:t xml:space="preserve"> </w:t>
      </w:r>
      <w:r w:rsidRPr="00E212E3">
        <w:rPr>
          <w:rFonts w:ascii="Garamond" w:hAnsi="Garamond"/>
          <w:sz w:val="22"/>
          <w:szCs w:val="22"/>
        </w:rPr>
        <w:t xml:space="preserve">broadcasting of continuing pharmacy education activities.  Participants may register to view activities on-line from off campus.  Attendees who register for remote viewing will receive a link to attend the program using their computer, </w:t>
      </w:r>
      <w:proofErr w:type="gramStart"/>
      <w:r w:rsidRPr="00E212E3">
        <w:rPr>
          <w:rFonts w:ascii="Garamond" w:hAnsi="Garamond"/>
          <w:sz w:val="22"/>
          <w:szCs w:val="22"/>
        </w:rPr>
        <w:t>tablet</w:t>
      </w:r>
      <w:proofErr w:type="gramEnd"/>
      <w:r w:rsidRPr="00E212E3">
        <w:rPr>
          <w:rFonts w:ascii="Garamond" w:hAnsi="Garamond"/>
          <w:sz w:val="22"/>
          <w:szCs w:val="22"/>
        </w:rPr>
        <w:t xml:space="preserve"> or phone, along with instructions to access Zoom Meeting </w:t>
      </w:r>
      <w:r w:rsidRPr="00E212E3">
        <w:rPr>
          <w:rFonts w:ascii="Garamond" w:hAnsi="Garamond"/>
          <w:b/>
          <w:sz w:val="22"/>
          <w:szCs w:val="22"/>
        </w:rPr>
        <w:t>one week prior to the webinar</w:t>
      </w:r>
      <w:r w:rsidRPr="00E212E3">
        <w:rPr>
          <w:rFonts w:ascii="Garamond" w:hAnsi="Garamond"/>
          <w:sz w:val="22"/>
          <w:szCs w:val="22"/>
        </w:rPr>
        <w:t xml:space="preserve">.  They will be able to listen to the speakers and view the educational materials and respond to polling questions.  </w:t>
      </w:r>
      <w:proofErr w:type="gramStart"/>
      <w:r w:rsidRPr="00E212E3">
        <w:rPr>
          <w:rFonts w:ascii="Garamond" w:hAnsi="Garamond"/>
          <w:sz w:val="22"/>
          <w:szCs w:val="22"/>
        </w:rPr>
        <w:t>In order to</w:t>
      </w:r>
      <w:proofErr w:type="gramEnd"/>
      <w:r w:rsidRPr="00E212E3">
        <w:rPr>
          <w:rFonts w:ascii="Garamond" w:hAnsi="Garamond"/>
          <w:sz w:val="22"/>
          <w:szCs w:val="22"/>
        </w:rPr>
        <w:t xml:space="preserve"> qualify as a live activity, questions may be posed to the presenters by means of the on-line chat function.  </w:t>
      </w:r>
    </w:p>
    <w:p w14:paraId="6BB793A7" w14:textId="77777777" w:rsidR="00506D6E" w:rsidRPr="00E212E3" w:rsidRDefault="00506D6E" w:rsidP="009636E7">
      <w:pPr>
        <w:rPr>
          <w:rFonts w:ascii="Garamond" w:hAnsi="Garamond"/>
          <w:b/>
          <w:sz w:val="22"/>
          <w:szCs w:val="22"/>
          <w:u w:val="single"/>
        </w:rPr>
      </w:pPr>
    </w:p>
    <w:p w14:paraId="599436FD" w14:textId="65F7BA6B" w:rsidR="00E85A14" w:rsidRPr="00E212E3" w:rsidRDefault="009636E7" w:rsidP="009636E7">
      <w:pPr>
        <w:rPr>
          <w:rFonts w:ascii="Garamond" w:hAnsi="Garamond"/>
          <w:sz w:val="22"/>
          <w:szCs w:val="22"/>
          <w:u w:val="single"/>
        </w:rPr>
      </w:pPr>
      <w:r w:rsidRPr="00E212E3">
        <w:rPr>
          <w:rFonts w:ascii="Garamond" w:hAnsi="Garamond"/>
          <w:b/>
          <w:sz w:val="22"/>
          <w:szCs w:val="22"/>
          <w:u w:val="single"/>
        </w:rPr>
        <w:t>Continuing Education</w:t>
      </w:r>
      <w:r w:rsidRPr="00E212E3">
        <w:rPr>
          <w:rFonts w:ascii="Garamond" w:hAnsi="Garamond"/>
          <w:b/>
          <w:sz w:val="22"/>
          <w:szCs w:val="22"/>
        </w:rPr>
        <w:t>:</w:t>
      </w:r>
      <w:r w:rsidRPr="00E212E3">
        <w:rPr>
          <w:rFonts w:ascii="Garamond" w:hAnsi="Garamond"/>
          <w:sz w:val="22"/>
          <w:szCs w:val="22"/>
        </w:rPr>
        <w:t xml:space="preserve"> Continuing Education credit has been approved for 0.</w:t>
      </w:r>
      <w:r w:rsidR="00C00F6C" w:rsidRPr="00E212E3">
        <w:rPr>
          <w:rFonts w:ascii="Garamond" w:hAnsi="Garamond"/>
          <w:sz w:val="22"/>
          <w:szCs w:val="22"/>
        </w:rPr>
        <w:t>1</w:t>
      </w:r>
      <w:r w:rsidRPr="00E212E3">
        <w:rPr>
          <w:rFonts w:ascii="Garamond" w:hAnsi="Garamond"/>
          <w:sz w:val="22"/>
          <w:szCs w:val="22"/>
        </w:rPr>
        <w:t xml:space="preserve"> live continuing education units (CEUs) or </w:t>
      </w:r>
      <w:r w:rsidR="00C00F6C" w:rsidRPr="00E212E3">
        <w:rPr>
          <w:rFonts w:ascii="Garamond" w:hAnsi="Garamond"/>
          <w:sz w:val="22"/>
          <w:szCs w:val="22"/>
        </w:rPr>
        <w:t>1</w:t>
      </w:r>
      <w:r w:rsidRPr="00E212E3">
        <w:rPr>
          <w:rFonts w:ascii="Garamond" w:hAnsi="Garamond"/>
          <w:sz w:val="22"/>
          <w:szCs w:val="22"/>
        </w:rPr>
        <w:t xml:space="preserve"> contact hour of live continuing education. </w:t>
      </w:r>
      <w:r w:rsidRPr="00E212E3">
        <w:rPr>
          <w:rFonts w:ascii="Garamond" w:hAnsi="Garamond"/>
          <w:b/>
          <w:sz w:val="22"/>
          <w:szCs w:val="22"/>
        </w:rPr>
        <w:t xml:space="preserve">Participants must log in using your full name so that proof of participation can be confirmed.  </w:t>
      </w:r>
      <w:r w:rsidRPr="00E212E3">
        <w:rPr>
          <w:rFonts w:ascii="Garamond" w:hAnsi="Garamond"/>
          <w:sz w:val="22"/>
          <w:szCs w:val="22"/>
        </w:rPr>
        <w:t xml:space="preserve"> Participants must also complete the online learning assessments for the activity attended after the program to receive credit for this activity.  </w:t>
      </w:r>
      <w:r w:rsidRPr="00E212E3">
        <w:rPr>
          <w:rFonts w:ascii="Garamond" w:hAnsi="Garamond"/>
          <w:b/>
          <w:color w:val="1C0ED6"/>
          <w:sz w:val="22"/>
          <w:szCs w:val="22"/>
        </w:rPr>
        <w:t xml:space="preserve">You will have </w:t>
      </w:r>
      <w:r w:rsidR="00C11C69" w:rsidRPr="00E212E3">
        <w:rPr>
          <w:rFonts w:ascii="Garamond" w:hAnsi="Garamond"/>
          <w:b/>
          <w:color w:val="1C0ED6"/>
          <w:sz w:val="22"/>
          <w:szCs w:val="22"/>
        </w:rPr>
        <w:t>45</w:t>
      </w:r>
      <w:r w:rsidRPr="00E212E3">
        <w:rPr>
          <w:rFonts w:ascii="Garamond" w:hAnsi="Garamond"/>
          <w:b/>
          <w:color w:val="1C0ED6"/>
          <w:sz w:val="22"/>
          <w:szCs w:val="22"/>
        </w:rPr>
        <w:t xml:space="preserve"> days from the day of the program to complete the evaluations and learning assessments to receive ACPE credit.  </w:t>
      </w:r>
      <w:r w:rsidRPr="00E212E3">
        <w:rPr>
          <w:rFonts w:ascii="Garamond" w:hAnsi="Garamond"/>
          <w:sz w:val="22"/>
          <w:szCs w:val="22"/>
        </w:rPr>
        <w:t xml:space="preserve">Upon completion and verification, your continuing pharmacy education credits will be sent to CPE Monitor.  Statements of credit may be printed from the CPE Monitor website at: </w:t>
      </w:r>
      <w:hyperlink r:id="rId7" w:history="1">
        <w:r w:rsidRPr="00E212E3">
          <w:rPr>
            <w:rStyle w:val="Hyperlink"/>
            <w:rFonts w:ascii="Garamond" w:hAnsi="Garamond"/>
            <w:sz w:val="22"/>
            <w:szCs w:val="22"/>
          </w:rPr>
          <w:t>www.nabp.net/pharmacists</w:t>
        </w:r>
      </w:hyperlink>
      <w:r w:rsidR="00E85A14" w:rsidRPr="00E212E3">
        <w:rPr>
          <w:rFonts w:ascii="Garamond" w:hAnsi="Garamond"/>
          <w:sz w:val="22"/>
          <w:szCs w:val="22"/>
          <w:u w:val="single"/>
        </w:rPr>
        <w:t>.</w:t>
      </w:r>
    </w:p>
    <w:p w14:paraId="534DB23B" w14:textId="77777777" w:rsidR="005E1230" w:rsidRPr="00E212E3" w:rsidRDefault="005E1230" w:rsidP="009636E7">
      <w:pPr>
        <w:rPr>
          <w:rFonts w:ascii="Garamond" w:hAnsi="Garamond"/>
          <w:sz w:val="20"/>
          <w:szCs w:val="20"/>
          <w:u w:val="single"/>
        </w:rPr>
      </w:pPr>
    </w:p>
    <w:p w14:paraId="3C925F23" w14:textId="5868A15F" w:rsidR="005E1230" w:rsidRPr="00E212E3" w:rsidRDefault="00BD5BF2" w:rsidP="00506D6E">
      <w:pPr>
        <w:ind w:left="720"/>
        <w:rPr>
          <w:rFonts w:ascii="Garamond" w:hAnsi="Garamond"/>
          <w:i/>
          <w:sz w:val="20"/>
          <w:szCs w:val="20"/>
        </w:rPr>
      </w:pPr>
      <w:r w:rsidRPr="00E212E3">
        <w:rPr>
          <w:rFonts w:ascii="Garamond" w:hAnsi="Garamond"/>
          <w:i/>
          <w:sz w:val="20"/>
          <w:szCs w:val="20"/>
        </w:rPr>
        <w:t xml:space="preserve">ACPE policy states that paper and/or electronic </w:t>
      </w:r>
      <w:r w:rsidR="00E85A14" w:rsidRPr="00E212E3">
        <w:rPr>
          <w:rFonts w:ascii="Garamond" w:hAnsi="Garamond"/>
          <w:i/>
          <w:sz w:val="20"/>
          <w:szCs w:val="20"/>
        </w:rPr>
        <w:t>statements of credit are no longer required to be distributed directly to learners as proof of ACPE credit.  This official record of credit is located on the learner's e-profile in CPE Monitor.  Printed copies of statements will no longer be distributed by Albany College of Pharmacy and Health Sciences.</w:t>
      </w:r>
    </w:p>
    <w:p w14:paraId="3721BF91" w14:textId="77777777" w:rsidR="00506D6E" w:rsidRPr="00E212E3" w:rsidRDefault="00506D6E" w:rsidP="00E85A14">
      <w:pPr>
        <w:rPr>
          <w:rFonts w:ascii="Garamond" w:hAnsi="Garamond"/>
          <w:b/>
          <w:sz w:val="20"/>
          <w:szCs w:val="20"/>
          <w:u w:val="single"/>
        </w:rPr>
      </w:pPr>
    </w:p>
    <w:p w14:paraId="44469231" w14:textId="77777777" w:rsidR="00506D6E" w:rsidRPr="00E212E3" w:rsidRDefault="00506D6E" w:rsidP="00E85A14">
      <w:pPr>
        <w:rPr>
          <w:rFonts w:ascii="Garamond" w:hAnsi="Garamond"/>
          <w:b/>
          <w:sz w:val="20"/>
          <w:szCs w:val="20"/>
          <w:u w:val="single"/>
        </w:rPr>
      </w:pPr>
    </w:p>
    <w:p w14:paraId="12A0A383" w14:textId="77777777" w:rsidR="00506D6E" w:rsidRPr="00E212E3" w:rsidRDefault="00506D6E" w:rsidP="00E85A14">
      <w:pPr>
        <w:rPr>
          <w:rFonts w:ascii="Garamond" w:hAnsi="Garamond"/>
          <w:b/>
          <w:sz w:val="20"/>
          <w:szCs w:val="20"/>
          <w:u w:val="single"/>
        </w:rPr>
      </w:pPr>
    </w:p>
    <w:p w14:paraId="1BB48DE1" w14:textId="77777777" w:rsidR="00506D6E" w:rsidRPr="00E212E3" w:rsidRDefault="00506D6E" w:rsidP="00E85A14">
      <w:pPr>
        <w:rPr>
          <w:rFonts w:ascii="Garamond" w:hAnsi="Garamond"/>
          <w:b/>
          <w:sz w:val="20"/>
          <w:szCs w:val="20"/>
          <w:u w:val="single"/>
        </w:rPr>
      </w:pPr>
    </w:p>
    <w:p w14:paraId="215BC4E0" w14:textId="77777777" w:rsidR="00506D6E" w:rsidRPr="00E212E3" w:rsidRDefault="00506D6E" w:rsidP="00E85A14">
      <w:pPr>
        <w:rPr>
          <w:rFonts w:ascii="Garamond" w:hAnsi="Garamond"/>
          <w:b/>
          <w:sz w:val="20"/>
          <w:szCs w:val="20"/>
          <w:u w:val="single"/>
        </w:rPr>
      </w:pPr>
    </w:p>
    <w:p w14:paraId="0841F8F0" w14:textId="77777777" w:rsidR="00506D6E" w:rsidRPr="00E212E3" w:rsidRDefault="00506D6E" w:rsidP="00E85A14">
      <w:pPr>
        <w:rPr>
          <w:rFonts w:ascii="Garamond" w:hAnsi="Garamond"/>
          <w:b/>
          <w:sz w:val="20"/>
          <w:szCs w:val="20"/>
          <w:u w:val="single"/>
        </w:rPr>
      </w:pPr>
    </w:p>
    <w:p w14:paraId="639F2AB2" w14:textId="2FA651C3" w:rsidR="00E85A14" w:rsidRPr="00E212E3" w:rsidRDefault="009636E7" w:rsidP="00E85A14">
      <w:pPr>
        <w:rPr>
          <w:rFonts w:ascii="Garamond" w:hAnsi="Garamond"/>
          <w:color w:val="FF0000"/>
          <w:sz w:val="22"/>
          <w:szCs w:val="22"/>
        </w:rPr>
      </w:pPr>
      <w:r w:rsidRPr="00E212E3">
        <w:rPr>
          <w:rFonts w:ascii="Garamond" w:hAnsi="Garamond"/>
          <w:b/>
          <w:sz w:val="22"/>
          <w:szCs w:val="22"/>
          <w:u w:val="single"/>
        </w:rPr>
        <w:t>Registration Fee</w:t>
      </w:r>
      <w:r w:rsidRPr="00E212E3">
        <w:rPr>
          <w:rFonts w:ascii="Garamond" w:hAnsi="Garamond"/>
          <w:b/>
          <w:sz w:val="22"/>
          <w:szCs w:val="22"/>
        </w:rPr>
        <w:t>:</w:t>
      </w:r>
      <w:r w:rsidRPr="00E212E3">
        <w:rPr>
          <w:rFonts w:ascii="Garamond" w:hAnsi="Garamond"/>
          <w:sz w:val="22"/>
          <w:szCs w:val="22"/>
        </w:rPr>
        <w:t xml:space="preserve">  </w:t>
      </w:r>
      <w:r w:rsidR="00C00F6C" w:rsidRPr="00E212E3">
        <w:rPr>
          <w:rFonts w:ascii="Garamond" w:hAnsi="Garamond"/>
          <w:sz w:val="22"/>
          <w:szCs w:val="22"/>
        </w:rPr>
        <w:t>There is a registration fee of $2</w:t>
      </w:r>
      <w:r w:rsidR="00E212E3" w:rsidRPr="00E212E3">
        <w:rPr>
          <w:rFonts w:ascii="Garamond" w:hAnsi="Garamond"/>
          <w:sz w:val="22"/>
          <w:szCs w:val="22"/>
        </w:rPr>
        <w:t>5</w:t>
      </w:r>
      <w:r w:rsidR="00C00F6C" w:rsidRPr="00E212E3">
        <w:rPr>
          <w:rFonts w:ascii="Garamond" w:hAnsi="Garamond"/>
          <w:sz w:val="22"/>
          <w:szCs w:val="22"/>
        </w:rPr>
        <w:t>.00 for pharmacists.  There is no cost for student pharmacists</w:t>
      </w:r>
      <w:r w:rsidRPr="00E212E3">
        <w:rPr>
          <w:rFonts w:ascii="Garamond" w:hAnsi="Garamond"/>
          <w:sz w:val="22"/>
          <w:szCs w:val="22"/>
        </w:rPr>
        <w:t xml:space="preserve">. You can register for this CE by going to the following link:  </w:t>
      </w:r>
      <w:hyperlink r:id="rId8" w:history="1">
        <w:r w:rsidRPr="00E212E3">
          <w:rPr>
            <w:rStyle w:val="Hyperlink"/>
            <w:rFonts w:ascii="Garamond" w:hAnsi="Garamond"/>
            <w:sz w:val="22"/>
            <w:szCs w:val="22"/>
          </w:rPr>
          <w:t>https://pharmacyce.acphs.edu/user/login</w:t>
        </w:r>
      </w:hyperlink>
      <w:r w:rsidRPr="00E212E3">
        <w:rPr>
          <w:rFonts w:ascii="Garamond" w:hAnsi="Garamond"/>
          <w:sz w:val="22"/>
          <w:szCs w:val="22"/>
        </w:rPr>
        <w:t xml:space="preserve"> .  </w:t>
      </w:r>
      <w:r w:rsidR="00C00F6C" w:rsidRPr="00E212E3">
        <w:rPr>
          <w:rFonts w:ascii="Garamond" w:hAnsi="Garamond"/>
          <w:sz w:val="22"/>
          <w:szCs w:val="22"/>
        </w:rPr>
        <w:t xml:space="preserve"> </w:t>
      </w:r>
      <w:r w:rsidR="00FD58F3" w:rsidRPr="00E212E3">
        <w:rPr>
          <w:rFonts w:ascii="Garamond" w:hAnsi="Garamond"/>
          <w:color w:val="FF0000"/>
          <w:sz w:val="22"/>
          <w:szCs w:val="22"/>
        </w:rPr>
        <w:t xml:space="preserve">The deadline to register is </w:t>
      </w:r>
      <w:r w:rsidR="009A1DA6">
        <w:rPr>
          <w:rFonts w:ascii="Garamond" w:hAnsi="Garamond"/>
          <w:color w:val="FF0000"/>
          <w:sz w:val="22"/>
          <w:szCs w:val="22"/>
        </w:rPr>
        <w:t>Thursday, January 19, 2022</w:t>
      </w:r>
      <w:r w:rsidR="00FD58F3" w:rsidRPr="00E212E3">
        <w:rPr>
          <w:rFonts w:ascii="Garamond" w:hAnsi="Garamond"/>
          <w:color w:val="FF0000"/>
          <w:sz w:val="22"/>
          <w:szCs w:val="22"/>
        </w:rPr>
        <w:t>.</w:t>
      </w:r>
    </w:p>
    <w:p w14:paraId="4A44B5FE" w14:textId="77777777" w:rsidR="00506D6E" w:rsidRPr="00E212E3" w:rsidRDefault="00506D6E" w:rsidP="00E85A14">
      <w:pPr>
        <w:rPr>
          <w:rFonts w:ascii="Garamond" w:hAnsi="Garamond"/>
          <w:color w:val="FF0000"/>
          <w:sz w:val="22"/>
          <w:szCs w:val="22"/>
        </w:rPr>
      </w:pPr>
    </w:p>
    <w:p w14:paraId="779BC7C6" w14:textId="4B541ADC" w:rsidR="00E85A14" w:rsidRPr="00E212E3" w:rsidRDefault="009636E7" w:rsidP="009636E7">
      <w:pPr>
        <w:rPr>
          <w:rFonts w:ascii="Garamond" w:hAnsi="Garamond"/>
          <w:sz w:val="22"/>
          <w:szCs w:val="22"/>
        </w:rPr>
      </w:pPr>
      <w:r w:rsidRPr="00E212E3">
        <w:rPr>
          <w:rFonts w:ascii="Garamond" w:hAnsi="Garamond"/>
          <w:b/>
          <w:sz w:val="22"/>
          <w:szCs w:val="22"/>
          <w:u w:val="single"/>
        </w:rPr>
        <w:t>Statement of Disclosure</w:t>
      </w:r>
      <w:r w:rsidRPr="00E212E3">
        <w:rPr>
          <w:rFonts w:ascii="Garamond" w:hAnsi="Garamond"/>
          <w:b/>
          <w:sz w:val="22"/>
          <w:szCs w:val="22"/>
        </w:rPr>
        <w:t>:</w:t>
      </w:r>
      <w:r w:rsidRPr="00E212E3">
        <w:rPr>
          <w:rFonts w:ascii="Garamond" w:hAnsi="Garamond"/>
          <w:sz w:val="22"/>
          <w:szCs w:val="22"/>
        </w:rPr>
        <w:t xml:space="preserve">  In accordance with ACPE Standards, ACPHS requires that speakers and program planners disclose any relationships that they may have with commercial interests whose products or services may be mentioned in their presentations.  Dr. </w:t>
      </w:r>
      <w:r w:rsidR="0076408B">
        <w:rPr>
          <w:rFonts w:ascii="Garamond" w:hAnsi="Garamond"/>
          <w:sz w:val="22"/>
          <w:szCs w:val="22"/>
        </w:rPr>
        <w:t>Yager</w:t>
      </w:r>
      <w:r w:rsidR="006A45E3" w:rsidRPr="00E212E3">
        <w:rPr>
          <w:rFonts w:ascii="Garamond" w:hAnsi="Garamond"/>
          <w:sz w:val="22"/>
          <w:szCs w:val="22"/>
        </w:rPr>
        <w:t xml:space="preserve"> </w:t>
      </w:r>
      <w:r w:rsidRPr="00E212E3">
        <w:rPr>
          <w:rFonts w:ascii="Garamond" w:hAnsi="Garamond"/>
          <w:sz w:val="22"/>
          <w:szCs w:val="22"/>
        </w:rPr>
        <w:t>has nothing to disclose.</w:t>
      </w:r>
    </w:p>
    <w:p w14:paraId="4AEF213F" w14:textId="77777777" w:rsidR="00FD58F3" w:rsidRPr="00E212E3" w:rsidRDefault="00FD58F3" w:rsidP="009636E7">
      <w:pPr>
        <w:rPr>
          <w:sz w:val="22"/>
          <w:szCs w:val="22"/>
        </w:rPr>
      </w:pPr>
    </w:p>
    <w:p w14:paraId="27F62E59" w14:textId="77777777" w:rsidR="009636E7" w:rsidRPr="00E85A14" w:rsidRDefault="009636E7">
      <w:pPr>
        <w:rPr>
          <w:sz w:val="22"/>
          <w:szCs w:val="22"/>
        </w:rPr>
      </w:pPr>
      <w:r w:rsidRPr="00E85A14">
        <w:rPr>
          <w:b/>
          <w:noProof/>
          <w:sz w:val="22"/>
          <w:szCs w:val="22"/>
        </w:rPr>
        <mc:AlternateContent>
          <mc:Choice Requires="wps">
            <w:drawing>
              <wp:anchor distT="0" distB="0" distL="114300" distR="114300" simplePos="0" relativeHeight="251659264" behindDoc="0" locked="0" layoutInCell="1" allowOverlap="1" wp14:anchorId="2A5CDF48" wp14:editId="47EE838E">
                <wp:simplePos x="0" y="0"/>
                <wp:positionH relativeFrom="column">
                  <wp:posOffset>1428750</wp:posOffset>
                </wp:positionH>
                <wp:positionV relativeFrom="paragraph">
                  <wp:posOffset>46354</wp:posOffset>
                </wp:positionV>
                <wp:extent cx="2914650" cy="885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14650" cy="885825"/>
                        </a:xfrm>
                        <a:prstGeom prst="rect">
                          <a:avLst/>
                        </a:prstGeom>
                        <a:solidFill>
                          <a:schemeClr val="lt1"/>
                        </a:solidFill>
                        <a:ln w="6350">
                          <a:solidFill>
                            <a:schemeClr val="bg1"/>
                          </a:solidFill>
                        </a:ln>
                      </wps:spPr>
                      <wps:txbx>
                        <w:txbxContent>
                          <w:p w14:paraId="307A86AC" w14:textId="77777777" w:rsidR="009636E7" w:rsidRPr="00E212E3" w:rsidRDefault="009636E7" w:rsidP="009636E7">
                            <w:pPr>
                              <w:autoSpaceDE w:val="0"/>
                              <w:autoSpaceDN w:val="0"/>
                              <w:adjustRightInd w:val="0"/>
                              <w:rPr>
                                <w:rFonts w:ascii="Garamond" w:hAnsi="Garamond" w:cstheme="minorHAnsi"/>
                                <w:b/>
                                <w:iCs/>
                                <w:sz w:val="22"/>
                                <w:szCs w:val="22"/>
                              </w:rPr>
                            </w:pPr>
                            <w:r w:rsidRPr="00E212E3">
                              <w:rPr>
                                <w:rFonts w:ascii="Garamond" w:hAnsi="Garamond" w:cstheme="minorHAnsi"/>
                                <w:iCs/>
                                <w:sz w:val="22"/>
                                <w:szCs w:val="22"/>
                              </w:rPr>
                              <w:t>Albany College of Pharmacy and Health Sciences is accredited by the Accreditation Council for Pharmacy Education as a provider of continuing pharmacy education</w:t>
                            </w:r>
                          </w:p>
                          <w:p w14:paraId="678D5058" w14:textId="77777777" w:rsidR="009636E7" w:rsidRPr="00E212E3" w:rsidRDefault="009636E7">
                            <w:pP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CDF48" id="_x0000_t202" coordsize="21600,21600" o:spt="202" path="m,l,21600r21600,l21600,xe">
                <v:stroke joinstyle="miter"/>
                <v:path gradientshapeok="t" o:connecttype="rect"/>
              </v:shapetype>
              <v:shape id="Text Box 1" o:spid="_x0000_s1026" type="#_x0000_t202" style="position:absolute;margin-left:112.5pt;margin-top:3.65pt;width:229.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" fillcolor="white [3201]" strokecolor="white [3212]" strokeweight=".5pt">
                <v:textbox>
                  <w:txbxContent>
                    <w:p w14:paraId="307A86AC" w14:textId="77777777" w:rsidR="009636E7" w:rsidRPr="00E212E3" w:rsidRDefault="009636E7" w:rsidP="009636E7">
                      <w:pPr>
                        <w:autoSpaceDE w:val="0"/>
                        <w:autoSpaceDN w:val="0"/>
                        <w:adjustRightInd w:val="0"/>
                        <w:rPr>
                          <w:rFonts w:ascii="Garamond" w:hAnsi="Garamond" w:cstheme="minorHAnsi"/>
                          <w:b/>
                          <w:iCs/>
                          <w:sz w:val="22"/>
                          <w:szCs w:val="22"/>
                        </w:rPr>
                      </w:pPr>
                      <w:r w:rsidRPr="00E212E3">
                        <w:rPr>
                          <w:rFonts w:ascii="Garamond" w:hAnsi="Garamond" w:cstheme="minorHAnsi"/>
                          <w:iCs/>
                          <w:sz w:val="22"/>
                          <w:szCs w:val="22"/>
                        </w:rPr>
                        <w:t>Albany College of Pharmacy and Health Sciences is accredited by the Accreditation Council for Pharmacy Education as a provider of continuing pharmacy education</w:t>
                      </w:r>
                    </w:p>
                    <w:p w14:paraId="678D5058" w14:textId="77777777" w:rsidR="009636E7" w:rsidRPr="00E212E3" w:rsidRDefault="009636E7">
                      <w:pPr>
                        <w:rPr>
                          <w:iCs/>
                        </w:rPr>
                      </w:pPr>
                    </w:p>
                  </w:txbxContent>
                </v:textbox>
              </v:shape>
            </w:pict>
          </mc:Fallback>
        </mc:AlternateContent>
      </w:r>
      <w:r w:rsidRPr="00E85A14">
        <w:rPr>
          <w:b/>
          <w:noProof/>
          <w:sz w:val="22"/>
          <w:szCs w:val="22"/>
        </w:rPr>
        <w:drawing>
          <wp:inline distT="0" distB="0" distL="0" distR="0" wp14:anchorId="2439B37B" wp14:editId="54A747CE">
            <wp:extent cx="763270" cy="720866"/>
            <wp:effectExtent l="0" t="0" r="9525" b="3175"/>
            <wp:docPr id="8" name="Picture 8" descr="300ACP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ACPE_P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20866"/>
                    </a:xfrm>
                    <a:prstGeom prst="rect">
                      <a:avLst/>
                    </a:prstGeom>
                    <a:noFill/>
                    <a:ln>
                      <a:noFill/>
                    </a:ln>
                  </pic:spPr>
                </pic:pic>
              </a:graphicData>
            </a:graphic>
          </wp:inline>
        </w:drawing>
      </w:r>
    </w:p>
    <w:sectPr w:rsidR="009636E7" w:rsidRPr="00E85A14" w:rsidSect="009636E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1C5D" w14:textId="77777777" w:rsidR="00EE22A8" w:rsidRDefault="00EE22A8" w:rsidP="00EE22A8">
      <w:r>
        <w:separator/>
      </w:r>
    </w:p>
  </w:endnote>
  <w:endnote w:type="continuationSeparator" w:id="0">
    <w:p w14:paraId="1339088F" w14:textId="77777777" w:rsidR="00EE22A8" w:rsidRDefault="00EE22A8" w:rsidP="00EE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7F39" w14:textId="77777777" w:rsidR="00EE22A8" w:rsidRDefault="00EE22A8" w:rsidP="00EE22A8">
      <w:r>
        <w:separator/>
      </w:r>
    </w:p>
  </w:footnote>
  <w:footnote w:type="continuationSeparator" w:id="0">
    <w:p w14:paraId="2C82E40A" w14:textId="77777777" w:rsidR="00EE22A8" w:rsidRDefault="00EE22A8" w:rsidP="00EE2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7B53"/>
    <w:multiLevelType w:val="hybridMultilevel"/>
    <w:tmpl w:val="F51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2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E7"/>
    <w:rsid w:val="00111575"/>
    <w:rsid w:val="00195CE0"/>
    <w:rsid w:val="004860DB"/>
    <w:rsid w:val="004A61D8"/>
    <w:rsid w:val="004B3F65"/>
    <w:rsid w:val="004E094B"/>
    <w:rsid w:val="004F23E2"/>
    <w:rsid w:val="00506D6E"/>
    <w:rsid w:val="005E1230"/>
    <w:rsid w:val="006538DE"/>
    <w:rsid w:val="00653CF8"/>
    <w:rsid w:val="0066329E"/>
    <w:rsid w:val="00666F4C"/>
    <w:rsid w:val="006A45E3"/>
    <w:rsid w:val="006D097C"/>
    <w:rsid w:val="0076408B"/>
    <w:rsid w:val="0076704F"/>
    <w:rsid w:val="007A457C"/>
    <w:rsid w:val="00926254"/>
    <w:rsid w:val="009636E7"/>
    <w:rsid w:val="00980D79"/>
    <w:rsid w:val="009A1DA6"/>
    <w:rsid w:val="009C70FD"/>
    <w:rsid w:val="00A10319"/>
    <w:rsid w:val="00AA5E54"/>
    <w:rsid w:val="00AD05A6"/>
    <w:rsid w:val="00B41DB6"/>
    <w:rsid w:val="00BD5BF2"/>
    <w:rsid w:val="00BE151E"/>
    <w:rsid w:val="00BE392F"/>
    <w:rsid w:val="00C00F6C"/>
    <w:rsid w:val="00C11C69"/>
    <w:rsid w:val="00CE7E5E"/>
    <w:rsid w:val="00D16AC2"/>
    <w:rsid w:val="00D44D04"/>
    <w:rsid w:val="00D64117"/>
    <w:rsid w:val="00D92572"/>
    <w:rsid w:val="00E20466"/>
    <w:rsid w:val="00E212E3"/>
    <w:rsid w:val="00E41E2E"/>
    <w:rsid w:val="00E85A14"/>
    <w:rsid w:val="00EE22A8"/>
    <w:rsid w:val="00F3164D"/>
    <w:rsid w:val="00FD58F3"/>
    <w:rsid w:val="00FD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5C6B"/>
  <w15:chartTrackingRefBased/>
  <w15:docId w15:val="{7716F3F0-0B93-4539-B41F-5DE975A0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E7"/>
    <w:pPr>
      <w:ind w:left="720"/>
      <w:contextualSpacing/>
    </w:pPr>
  </w:style>
  <w:style w:type="character" w:styleId="Hyperlink">
    <w:name w:val="Hyperlink"/>
    <w:basedOn w:val="DefaultParagraphFont"/>
    <w:uiPriority w:val="99"/>
    <w:unhideWhenUsed/>
    <w:rsid w:val="009636E7"/>
    <w:rPr>
      <w:color w:val="0563C1" w:themeColor="hyperlink"/>
      <w:u w:val="single"/>
    </w:rPr>
  </w:style>
  <w:style w:type="paragraph" w:styleId="BalloonText">
    <w:name w:val="Balloon Text"/>
    <w:basedOn w:val="Normal"/>
    <w:link w:val="BalloonTextChar"/>
    <w:uiPriority w:val="99"/>
    <w:semiHidden/>
    <w:unhideWhenUsed/>
    <w:rsid w:val="00D16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C2"/>
    <w:rPr>
      <w:rFonts w:ascii="Segoe UI" w:eastAsiaTheme="minorEastAsia" w:hAnsi="Segoe UI" w:cs="Segoe UI"/>
      <w:sz w:val="18"/>
      <w:szCs w:val="18"/>
    </w:rPr>
  </w:style>
  <w:style w:type="paragraph" w:styleId="Header">
    <w:name w:val="header"/>
    <w:basedOn w:val="Normal"/>
    <w:link w:val="HeaderChar"/>
    <w:uiPriority w:val="99"/>
    <w:unhideWhenUsed/>
    <w:rsid w:val="00EE22A8"/>
    <w:pPr>
      <w:tabs>
        <w:tab w:val="center" w:pos="4680"/>
        <w:tab w:val="right" w:pos="9360"/>
      </w:tabs>
    </w:pPr>
  </w:style>
  <w:style w:type="character" w:customStyle="1" w:styleId="HeaderChar">
    <w:name w:val="Header Char"/>
    <w:basedOn w:val="DefaultParagraphFont"/>
    <w:link w:val="Header"/>
    <w:uiPriority w:val="99"/>
    <w:rsid w:val="00EE22A8"/>
    <w:rPr>
      <w:rFonts w:eastAsiaTheme="minorEastAsia"/>
      <w:sz w:val="24"/>
      <w:szCs w:val="24"/>
    </w:rPr>
  </w:style>
  <w:style w:type="paragraph" w:styleId="Footer">
    <w:name w:val="footer"/>
    <w:basedOn w:val="Normal"/>
    <w:link w:val="FooterChar"/>
    <w:uiPriority w:val="99"/>
    <w:unhideWhenUsed/>
    <w:rsid w:val="00EE22A8"/>
    <w:pPr>
      <w:tabs>
        <w:tab w:val="center" w:pos="4680"/>
        <w:tab w:val="right" w:pos="9360"/>
      </w:tabs>
    </w:pPr>
  </w:style>
  <w:style w:type="character" w:customStyle="1" w:styleId="FooterChar">
    <w:name w:val="Footer Char"/>
    <w:basedOn w:val="DefaultParagraphFont"/>
    <w:link w:val="Footer"/>
    <w:uiPriority w:val="99"/>
    <w:rsid w:val="00EE22A8"/>
    <w:rPr>
      <w:rFonts w:eastAsiaTheme="minorEastAsia"/>
      <w:sz w:val="24"/>
      <w:szCs w:val="24"/>
    </w:rPr>
  </w:style>
  <w:style w:type="table" w:styleId="TableGrid">
    <w:name w:val="Table Grid"/>
    <w:basedOn w:val="TableNormal"/>
    <w:uiPriority w:val="39"/>
    <w:rsid w:val="009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98184">
      <w:bodyDiv w:val="1"/>
      <w:marLeft w:val="0"/>
      <w:marRight w:val="0"/>
      <w:marTop w:val="0"/>
      <w:marBottom w:val="0"/>
      <w:divBdr>
        <w:top w:val="none" w:sz="0" w:space="0" w:color="auto"/>
        <w:left w:val="none" w:sz="0" w:space="0" w:color="auto"/>
        <w:bottom w:val="none" w:sz="0" w:space="0" w:color="auto"/>
        <w:right w:val="none" w:sz="0" w:space="0" w:color="auto"/>
      </w:divBdr>
    </w:div>
    <w:div w:id="14966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ce.acphs.edu/user/login" TargetMode="External"/><Relationship Id="rId3" Type="http://schemas.openxmlformats.org/officeDocument/2006/relationships/settings" Target="settings.xml"/><Relationship Id="rId7" Type="http://schemas.openxmlformats.org/officeDocument/2006/relationships/hyperlink" Target="http://www.nabp.net/pharmac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Lori</dc:creator>
  <cp:keywords/>
  <dc:description/>
  <cp:lastModifiedBy>Kline, Lori</cp:lastModifiedBy>
  <cp:revision>2</cp:revision>
  <cp:lastPrinted>2022-12-05T15:08:00Z</cp:lastPrinted>
  <dcterms:created xsi:type="dcterms:W3CDTF">2022-12-05T15:09:00Z</dcterms:created>
  <dcterms:modified xsi:type="dcterms:W3CDTF">2022-12-05T15:09:00Z</dcterms:modified>
</cp:coreProperties>
</file>